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154C" w:rsidRPr="002F154C" w:rsidRDefault="002F154C" w:rsidP="002F154C">
      <w:pPr>
        <w:pStyle w:val="11"/>
        <w:rPr>
          <w:rFonts w:ascii="Arial" w:hAnsi="Arial" w:cs="Arial"/>
          <w:b/>
          <w:sz w:val="28"/>
        </w:rPr>
      </w:pPr>
      <w:bookmarkStart w:id="0" w:name="_Toc46255583"/>
      <w:r w:rsidRPr="002F154C">
        <w:rPr>
          <w:rFonts w:ascii="Arial" w:hAnsi="Arial" w:cs="Arial"/>
          <w:b/>
          <w:sz w:val="28"/>
        </w:rPr>
        <w:t>EK-</w:t>
      </w:r>
      <w:proofErr w:type="spellStart"/>
      <w:r w:rsidRPr="002F154C">
        <w:rPr>
          <w:rFonts w:ascii="Arial" w:hAnsi="Arial" w:cs="Arial"/>
          <w:b/>
          <w:sz w:val="28"/>
        </w:rPr>
        <w:t>C.5</w:t>
      </w:r>
      <w:proofErr w:type="spellEnd"/>
      <w:r w:rsidRPr="002F154C">
        <w:rPr>
          <w:rFonts w:ascii="Arial" w:hAnsi="Arial" w:cs="Arial"/>
          <w:b/>
          <w:sz w:val="28"/>
        </w:rPr>
        <w:t>: TELAFİ EDİCİ KONTROL KAYIT FORMU</w:t>
      </w:r>
      <w:bookmarkStart w:id="1" w:name="_GoBack"/>
      <w:bookmarkEnd w:id="0"/>
      <w:bookmarkEnd w:id="1"/>
    </w:p>
    <w:p w:rsidR="002F154C" w:rsidRPr="002F154C" w:rsidRDefault="002F154C" w:rsidP="002F154C">
      <w:pPr>
        <w:pStyle w:val="11"/>
        <w:rPr>
          <w:rFonts w:cs="Arial"/>
          <w:sz w:val="20"/>
          <w:szCs w:val="20"/>
        </w:rPr>
      </w:pPr>
      <w:r w:rsidRPr="002F154C">
        <w:rPr>
          <w:sz w:val="20"/>
          <w:szCs w:val="20"/>
        </w:rPr>
        <w:t xml:space="preserve">Kurum, boşluk analizi sonucunda uygulanması gereken ilave tedbirler kapsamındaki herhangi bir gereksinimi; üst yönetim tarafından onaylanmış teknik kısıtlamalar ve iş gereksinimlerinden dolayı rehberde tanımlandığı şekli ile karşılayamaması durumunda telafi edici kontroller uygulamalıdır. Telafi edici kontroller, yerine uygulandıkları tedbir maddeleri ile aynı amaç ve etkiye sahip olmaları durumunda kullanılabilir olarak kabul edilecektir. </w:t>
      </w:r>
      <w:r w:rsidRPr="002F154C">
        <w:rPr>
          <w:rFonts w:cs="Arial"/>
          <w:sz w:val="20"/>
          <w:szCs w:val="20"/>
        </w:rPr>
        <w:t xml:space="preserve">Tedbir maddesi ile ilgili gereklilikleri karşılamak amacıyla kullanılan her bir telafi edici kontrolü tanımlamak için aşağıdaki form kullanılmalıdır. </w:t>
      </w:r>
    </w:p>
    <w:tbl>
      <w:tblPr>
        <w:tblStyle w:val="GENELTABLOB"/>
        <w:tblW w:w="9356" w:type="dxa"/>
        <w:tblCellMar>
          <w:top w:w="28" w:type="dxa"/>
          <w:bottom w:w="28" w:type="dxa"/>
        </w:tblCellMar>
        <w:tblLook w:val="04A0" w:firstRow="1" w:lastRow="0" w:firstColumn="1" w:lastColumn="0" w:noHBand="0" w:noVBand="1"/>
      </w:tblPr>
      <w:tblGrid>
        <w:gridCol w:w="1841"/>
        <w:gridCol w:w="2549"/>
        <w:gridCol w:w="4966"/>
      </w:tblGrid>
      <w:tr w:rsidR="002F154C" w:rsidRPr="007F42C9" w:rsidTr="002F154C">
        <w:trPr>
          <w:cnfStyle w:val="100000000000" w:firstRow="1" w:lastRow="0" w:firstColumn="0" w:lastColumn="0" w:oddVBand="0" w:evenVBand="0" w:oddHBand="0" w:evenHBand="0" w:firstRowFirstColumn="0" w:firstRowLastColumn="0" w:lastRowFirstColumn="0" w:lastRowLastColumn="0"/>
          <w:trHeight w:val="20"/>
        </w:trPr>
        <w:tc>
          <w:tcPr>
            <w:tcW w:w="2346" w:type="pct"/>
            <w:gridSpan w:val="2"/>
            <w:tcMar>
              <w:top w:w="57" w:type="dxa"/>
              <w:left w:w="57" w:type="dxa"/>
              <w:bottom w:w="57" w:type="dxa"/>
              <w:right w:w="57" w:type="dxa"/>
            </w:tcMar>
          </w:tcPr>
          <w:p w:rsidR="002F154C" w:rsidRPr="007F42C9" w:rsidRDefault="002F154C" w:rsidP="005531D5">
            <w:pPr>
              <w:spacing w:before="0" w:after="0"/>
              <w:rPr>
                <w:rFonts w:ascii="Source Sans Pro" w:hAnsi="Source Sans Pro"/>
                <w:sz w:val="20"/>
              </w:rPr>
            </w:pPr>
            <w:r w:rsidRPr="007F42C9">
              <w:rPr>
                <w:rFonts w:ascii="Source Sans Pro" w:hAnsi="Source Sans Pro"/>
                <w:sz w:val="20"/>
              </w:rPr>
              <w:t>TELAFİ EDİCİ KONTROLE YÖNELİK BİLGİ</w:t>
            </w:r>
          </w:p>
        </w:tc>
        <w:tc>
          <w:tcPr>
            <w:tcW w:w="2654" w:type="pct"/>
            <w:tcMar>
              <w:top w:w="57" w:type="dxa"/>
              <w:left w:w="57" w:type="dxa"/>
              <w:bottom w:w="57" w:type="dxa"/>
              <w:right w:w="57" w:type="dxa"/>
            </w:tcMar>
          </w:tcPr>
          <w:p w:rsidR="002F154C" w:rsidRPr="007F42C9" w:rsidRDefault="002F154C" w:rsidP="005531D5">
            <w:pPr>
              <w:spacing w:before="0" w:after="0"/>
              <w:rPr>
                <w:rFonts w:ascii="Source Sans Pro" w:hAnsi="Source Sans Pro"/>
                <w:sz w:val="20"/>
              </w:rPr>
            </w:pPr>
            <w:r w:rsidRPr="007F42C9">
              <w:rPr>
                <w:rFonts w:ascii="Source Sans Pro" w:hAnsi="Source Sans Pro"/>
                <w:sz w:val="20"/>
              </w:rPr>
              <w:t>AÇIKLAMA</w:t>
            </w:r>
          </w:p>
        </w:tc>
      </w:tr>
      <w:tr w:rsidR="002F154C" w:rsidRPr="007F42C9" w:rsidTr="002F154C">
        <w:trPr>
          <w:trHeight w:val="20"/>
        </w:trPr>
        <w:tc>
          <w:tcPr>
            <w:tcW w:w="984" w:type="pct"/>
          </w:tcPr>
          <w:p w:rsidR="002F154C" w:rsidRPr="007F42C9" w:rsidRDefault="002F154C" w:rsidP="005531D5">
            <w:pPr>
              <w:jc w:val="left"/>
              <w:rPr>
                <w:rFonts w:ascii="Source Sans Pro" w:hAnsi="Source Sans Pro"/>
                <w:b/>
                <w:sz w:val="16"/>
              </w:rPr>
            </w:pPr>
            <w:r w:rsidRPr="007F42C9">
              <w:rPr>
                <w:rFonts w:ascii="Source Sans Pro" w:hAnsi="Source Sans Pro"/>
                <w:b/>
                <w:sz w:val="16"/>
              </w:rPr>
              <w:t>Telafi Edici Kontrolün Numarası</w:t>
            </w:r>
          </w:p>
        </w:tc>
        <w:tc>
          <w:tcPr>
            <w:tcW w:w="1362" w:type="pct"/>
          </w:tcPr>
          <w:p w:rsidR="002F154C" w:rsidRPr="007F42C9" w:rsidRDefault="002F154C" w:rsidP="005531D5">
            <w:pPr>
              <w:jc w:val="left"/>
              <w:rPr>
                <w:rFonts w:ascii="Source Sans Pro" w:hAnsi="Source Sans Pro"/>
                <w:sz w:val="16"/>
              </w:rPr>
            </w:pPr>
            <w:r w:rsidRPr="007F42C9">
              <w:rPr>
                <w:rFonts w:ascii="Source Sans Pro" w:hAnsi="Source Sans Pro"/>
                <w:sz w:val="16"/>
              </w:rPr>
              <w:t>Telafi edici kontrole ait numara bilgisi</w:t>
            </w:r>
          </w:p>
        </w:tc>
        <w:tc>
          <w:tcPr>
            <w:tcW w:w="2654" w:type="pct"/>
          </w:tcPr>
          <w:p w:rsidR="002F154C" w:rsidRPr="007F42C9" w:rsidRDefault="002F154C" w:rsidP="005531D5">
            <w:pPr>
              <w:spacing w:after="0"/>
              <w:rPr>
                <w:rFonts w:ascii="Source Sans Pro" w:eastAsia="Times New Roman" w:hAnsi="Source Sans Pro" w:cs="Times New Roman"/>
              </w:rPr>
            </w:pPr>
          </w:p>
        </w:tc>
      </w:tr>
      <w:tr w:rsidR="002F154C" w:rsidRPr="007F42C9" w:rsidTr="002F154C">
        <w:trPr>
          <w:trHeight w:val="20"/>
        </w:trPr>
        <w:tc>
          <w:tcPr>
            <w:tcW w:w="984" w:type="pct"/>
          </w:tcPr>
          <w:p w:rsidR="002F154C" w:rsidRPr="007F42C9" w:rsidRDefault="002F154C" w:rsidP="005531D5">
            <w:pPr>
              <w:jc w:val="left"/>
              <w:rPr>
                <w:rFonts w:ascii="Source Sans Pro" w:hAnsi="Source Sans Pro"/>
                <w:b/>
                <w:sz w:val="16"/>
              </w:rPr>
            </w:pPr>
            <w:r w:rsidRPr="007F42C9">
              <w:rPr>
                <w:rFonts w:ascii="Source Sans Pro" w:hAnsi="Source Sans Pro"/>
                <w:b/>
                <w:sz w:val="16"/>
              </w:rPr>
              <w:t>Telafi Edici Kontrolün Tanımı</w:t>
            </w:r>
          </w:p>
        </w:tc>
        <w:tc>
          <w:tcPr>
            <w:tcW w:w="1362" w:type="pct"/>
          </w:tcPr>
          <w:p w:rsidR="002F154C" w:rsidRPr="007F42C9" w:rsidRDefault="002F154C" w:rsidP="005531D5">
            <w:pPr>
              <w:jc w:val="left"/>
              <w:rPr>
                <w:rFonts w:ascii="Source Sans Pro" w:hAnsi="Source Sans Pro"/>
                <w:sz w:val="16"/>
              </w:rPr>
            </w:pPr>
            <w:r w:rsidRPr="007F42C9">
              <w:rPr>
                <w:rFonts w:ascii="Source Sans Pro" w:hAnsi="Source Sans Pro"/>
                <w:sz w:val="16"/>
              </w:rPr>
              <w:t>Güvenlik tedbir maddesi yerine uygulanan telafi edici kontrolün tanımının yapıldığı alan</w:t>
            </w:r>
          </w:p>
        </w:tc>
        <w:tc>
          <w:tcPr>
            <w:tcW w:w="2654" w:type="pct"/>
          </w:tcPr>
          <w:p w:rsidR="002F154C" w:rsidRPr="007F42C9" w:rsidRDefault="002F154C" w:rsidP="005531D5">
            <w:pPr>
              <w:spacing w:after="0"/>
              <w:rPr>
                <w:rFonts w:ascii="Source Sans Pro" w:eastAsia="Times New Roman" w:hAnsi="Source Sans Pro" w:cs="Times New Roman"/>
              </w:rPr>
            </w:pPr>
          </w:p>
        </w:tc>
      </w:tr>
      <w:tr w:rsidR="002F154C" w:rsidRPr="007F42C9" w:rsidTr="002F154C">
        <w:trPr>
          <w:trHeight w:val="20"/>
        </w:trPr>
        <w:tc>
          <w:tcPr>
            <w:tcW w:w="984" w:type="pct"/>
          </w:tcPr>
          <w:p w:rsidR="002F154C" w:rsidRPr="007F42C9" w:rsidRDefault="002F154C" w:rsidP="005531D5">
            <w:pPr>
              <w:jc w:val="left"/>
              <w:rPr>
                <w:rFonts w:ascii="Source Sans Pro" w:hAnsi="Source Sans Pro"/>
                <w:b/>
                <w:sz w:val="16"/>
              </w:rPr>
            </w:pPr>
            <w:r w:rsidRPr="007F42C9">
              <w:rPr>
                <w:rFonts w:ascii="Source Sans Pro" w:hAnsi="Source Sans Pro"/>
                <w:b/>
                <w:sz w:val="16"/>
              </w:rPr>
              <w:t>Telafi Edici Kontrolün Niteliği (Geçici / Kalıcı)</w:t>
            </w:r>
          </w:p>
        </w:tc>
        <w:tc>
          <w:tcPr>
            <w:tcW w:w="1362" w:type="pct"/>
          </w:tcPr>
          <w:p w:rsidR="002F154C" w:rsidRPr="007F42C9" w:rsidRDefault="002F154C" w:rsidP="005531D5">
            <w:pPr>
              <w:jc w:val="left"/>
              <w:rPr>
                <w:rFonts w:ascii="Source Sans Pro" w:hAnsi="Source Sans Pro"/>
                <w:sz w:val="16"/>
              </w:rPr>
            </w:pPr>
            <w:r w:rsidRPr="007F42C9">
              <w:rPr>
                <w:rFonts w:ascii="Source Sans Pro" w:hAnsi="Source Sans Pro"/>
                <w:sz w:val="16"/>
              </w:rPr>
              <w:t>Telafi edici kontrolün geçici ya da kalıcı nitelikte olduğunun tanımlandığı alan</w:t>
            </w:r>
          </w:p>
        </w:tc>
        <w:tc>
          <w:tcPr>
            <w:tcW w:w="2654" w:type="pct"/>
          </w:tcPr>
          <w:p w:rsidR="002F154C" w:rsidRPr="007F42C9" w:rsidRDefault="002F154C" w:rsidP="005531D5">
            <w:pPr>
              <w:spacing w:after="0"/>
              <w:rPr>
                <w:rFonts w:ascii="Source Sans Pro" w:eastAsia="Times New Roman" w:hAnsi="Source Sans Pro" w:cs="Times New Roman"/>
              </w:rPr>
            </w:pPr>
          </w:p>
        </w:tc>
      </w:tr>
      <w:tr w:rsidR="002F154C" w:rsidRPr="007F42C9" w:rsidTr="002F154C">
        <w:trPr>
          <w:trHeight w:val="20"/>
        </w:trPr>
        <w:tc>
          <w:tcPr>
            <w:tcW w:w="984" w:type="pct"/>
          </w:tcPr>
          <w:p w:rsidR="002F154C" w:rsidRPr="007F42C9" w:rsidRDefault="002F154C" w:rsidP="005531D5">
            <w:pPr>
              <w:jc w:val="left"/>
              <w:rPr>
                <w:rFonts w:ascii="Source Sans Pro" w:hAnsi="Source Sans Pro"/>
                <w:b/>
                <w:sz w:val="16"/>
              </w:rPr>
            </w:pPr>
            <w:r w:rsidRPr="007F42C9">
              <w:rPr>
                <w:rFonts w:ascii="Source Sans Pro" w:hAnsi="Source Sans Pro"/>
                <w:b/>
                <w:sz w:val="16"/>
              </w:rPr>
              <w:t>Telafi Edici Kontrolün Geçici Olması Durumunda Planlanan Uygulama Zaman Aralığı</w:t>
            </w:r>
          </w:p>
        </w:tc>
        <w:tc>
          <w:tcPr>
            <w:tcW w:w="1362" w:type="pct"/>
          </w:tcPr>
          <w:p w:rsidR="002F154C" w:rsidRPr="007F42C9" w:rsidRDefault="002F154C" w:rsidP="005531D5">
            <w:pPr>
              <w:jc w:val="left"/>
              <w:rPr>
                <w:rFonts w:ascii="Source Sans Pro" w:hAnsi="Source Sans Pro"/>
                <w:sz w:val="16"/>
              </w:rPr>
            </w:pPr>
            <w:r w:rsidRPr="007F42C9">
              <w:rPr>
                <w:rFonts w:ascii="Source Sans Pro" w:hAnsi="Source Sans Pro"/>
                <w:sz w:val="16"/>
              </w:rPr>
              <w:t>Telafi edici kontrolün geçici nitelikte olması durumunda, kontrolün planlanan uygulama zaman aralığı</w:t>
            </w:r>
          </w:p>
        </w:tc>
        <w:tc>
          <w:tcPr>
            <w:tcW w:w="2654" w:type="pct"/>
          </w:tcPr>
          <w:p w:rsidR="002F154C" w:rsidRPr="007F42C9" w:rsidRDefault="002F154C" w:rsidP="005531D5">
            <w:pPr>
              <w:spacing w:after="0"/>
              <w:rPr>
                <w:rFonts w:ascii="Source Sans Pro" w:eastAsia="Times New Roman" w:hAnsi="Source Sans Pro" w:cs="Times New Roman"/>
              </w:rPr>
            </w:pPr>
          </w:p>
        </w:tc>
      </w:tr>
      <w:tr w:rsidR="002F154C" w:rsidRPr="007F42C9" w:rsidTr="002F154C">
        <w:trPr>
          <w:trHeight w:val="20"/>
        </w:trPr>
        <w:tc>
          <w:tcPr>
            <w:tcW w:w="984" w:type="pct"/>
          </w:tcPr>
          <w:p w:rsidR="002F154C" w:rsidRPr="007F42C9" w:rsidRDefault="002F154C" w:rsidP="005531D5">
            <w:pPr>
              <w:jc w:val="left"/>
              <w:rPr>
                <w:rFonts w:ascii="Source Sans Pro" w:hAnsi="Source Sans Pro"/>
                <w:b/>
                <w:sz w:val="16"/>
              </w:rPr>
            </w:pPr>
            <w:r w:rsidRPr="007F42C9">
              <w:rPr>
                <w:rFonts w:ascii="Source Sans Pro" w:hAnsi="Source Sans Pro"/>
                <w:b/>
                <w:sz w:val="16"/>
              </w:rPr>
              <w:t>İlişkili Güvenlik Tedbiri Madde Numarası</w:t>
            </w:r>
          </w:p>
        </w:tc>
        <w:tc>
          <w:tcPr>
            <w:tcW w:w="1362" w:type="pct"/>
          </w:tcPr>
          <w:p w:rsidR="002F154C" w:rsidRPr="007F42C9" w:rsidRDefault="002F154C" w:rsidP="005531D5">
            <w:pPr>
              <w:jc w:val="left"/>
              <w:rPr>
                <w:rFonts w:ascii="Source Sans Pro" w:hAnsi="Source Sans Pro"/>
                <w:sz w:val="16"/>
              </w:rPr>
            </w:pPr>
            <w:r w:rsidRPr="007F42C9">
              <w:rPr>
                <w:rFonts w:ascii="Source Sans Pro" w:hAnsi="Source Sans Pro"/>
                <w:sz w:val="16"/>
              </w:rPr>
              <w:t>Telafi edici kontrolün hangi güvenlik tedbiri yerine uygulanacağının tanımlandığı alan</w:t>
            </w:r>
          </w:p>
        </w:tc>
        <w:tc>
          <w:tcPr>
            <w:tcW w:w="2654" w:type="pct"/>
          </w:tcPr>
          <w:p w:rsidR="002F154C" w:rsidRPr="007F42C9" w:rsidRDefault="002F154C" w:rsidP="005531D5">
            <w:pPr>
              <w:spacing w:after="0"/>
              <w:rPr>
                <w:rFonts w:ascii="Source Sans Pro" w:eastAsia="Times New Roman" w:hAnsi="Source Sans Pro" w:cs="Times New Roman"/>
              </w:rPr>
            </w:pPr>
          </w:p>
        </w:tc>
      </w:tr>
      <w:tr w:rsidR="002F154C" w:rsidRPr="007F42C9" w:rsidTr="002F154C">
        <w:trPr>
          <w:trHeight w:val="20"/>
        </w:trPr>
        <w:tc>
          <w:tcPr>
            <w:tcW w:w="984" w:type="pct"/>
          </w:tcPr>
          <w:p w:rsidR="002F154C" w:rsidRPr="007F42C9" w:rsidRDefault="002F154C" w:rsidP="005531D5">
            <w:pPr>
              <w:jc w:val="left"/>
              <w:rPr>
                <w:rFonts w:ascii="Source Sans Pro" w:hAnsi="Source Sans Pro"/>
                <w:b/>
                <w:sz w:val="16"/>
              </w:rPr>
            </w:pPr>
            <w:r w:rsidRPr="007F42C9">
              <w:rPr>
                <w:rFonts w:ascii="Source Sans Pro" w:hAnsi="Source Sans Pro"/>
                <w:b/>
                <w:sz w:val="16"/>
              </w:rPr>
              <w:t>İlişkili Güvenlik Tedbiri Gereklilikleri</w:t>
            </w:r>
          </w:p>
        </w:tc>
        <w:tc>
          <w:tcPr>
            <w:tcW w:w="1362" w:type="pct"/>
          </w:tcPr>
          <w:p w:rsidR="002F154C" w:rsidRPr="007F42C9" w:rsidRDefault="002F154C" w:rsidP="005531D5">
            <w:pPr>
              <w:jc w:val="left"/>
              <w:rPr>
                <w:rFonts w:ascii="Source Sans Pro" w:hAnsi="Source Sans Pro"/>
                <w:sz w:val="16"/>
              </w:rPr>
            </w:pPr>
            <w:r w:rsidRPr="007F42C9">
              <w:rPr>
                <w:rFonts w:ascii="Source Sans Pro" w:hAnsi="Source Sans Pro"/>
                <w:sz w:val="16"/>
              </w:rPr>
              <w:t>Telafi edici kontrolün ilişkili olduğu güvenlik tedbir maddesinin gerekliliklerinin tanımlandığı alan</w:t>
            </w:r>
          </w:p>
        </w:tc>
        <w:tc>
          <w:tcPr>
            <w:tcW w:w="2654" w:type="pct"/>
          </w:tcPr>
          <w:p w:rsidR="002F154C" w:rsidRPr="007F42C9" w:rsidRDefault="002F154C" w:rsidP="005531D5">
            <w:pPr>
              <w:spacing w:after="0"/>
              <w:rPr>
                <w:rFonts w:ascii="Source Sans Pro" w:eastAsia="Times New Roman" w:hAnsi="Source Sans Pro" w:cs="Times New Roman"/>
              </w:rPr>
            </w:pPr>
          </w:p>
        </w:tc>
      </w:tr>
      <w:tr w:rsidR="002F154C" w:rsidRPr="007F42C9" w:rsidTr="002F154C">
        <w:trPr>
          <w:trHeight w:val="20"/>
        </w:trPr>
        <w:tc>
          <w:tcPr>
            <w:tcW w:w="984" w:type="pct"/>
          </w:tcPr>
          <w:p w:rsidR="002F154C" w:rsidRPr="007F42C9" w:rsidRDefault="002F154C" w:rsidP="005531D5">
            <w:pPr>
              <w:jc w:val="left"/>
              <w:rPr>
                <w:rFonts w:ascii="Source Sans Pro" w:hAnsi="Source Sans Pro"/>
                <w:b/>
                <w:sz w:val="16"/>
              </w:rPr>
            </w:pPr>
            <w:r w:rsidRPr="007F42C9">
              <w:rPr>
                <w:rFonts w:ascii="Source Sans Pro" w:hAnsi="Source Sans Pro"/>
                <w:b/>
                <w:sz w:val="16"/>
              </w:rPr>
              <w:t>İlişkili Güvenlik Tedbirinin Uygulanamamasından Kaynaklanan Riskler</w:t>
            </w:r>
          </w:p>
        </w:tc>
        <w:tc>
          <w:tcPr>
            <w:tcW w:w="1362" w:type="pct"/>
          </w:tcPr>
          <w:p w:rsidR="002F154C" w:rsidRPr="007F42C9" w:rsidRDefault="002F154C" w:rsidP="005531D5">
            <w:pPr>
              <w:jc w:val="left"/>
              <w:rPr>
                <w:rFonts w:ascii="Source Sans Pro" w:hAnsi="Source Sans Pro"/>
                <w:sz w:val="16"/>
              </w:rPr>
            </w:pPr>
            <w:r w:rsidRPr="007F42C9">
              <w:rPr>
                <w:rFonts w:ascii="Source Sans Pro" w:hAnsi="Source Sans Pro"/>
                <w:sz w:val="16"/>
              </w:rPr>
              <w:t>Güvenlik tedbir maddesinin uygulanmaması durumunda ortaya çıkacak risklere yönelik açıklamaların yapıldığı alan</w:t>
            </w:r>
          </w:p>
        </w:tc>
        <w:tc>
          <w:tcPr>
            <w:tcW w:w="2654" w:type="pct"/>
          </w:tcPr>
          <w:p w:rsidR="002F154C" w:rsidRPr="007F42C9" w:rsidRDefault="002F154C" w:rsidP="005531D5">
            <w:pPr>
              <w:spacing w:after="0"/>
              <w:rPr>
                <w:rFonts w:ascii="Source Sans Pro" w:eastAsia="Times New Roman" w:hAnsi="Source Sans Pro" w:cs="Times New Roman"/>
              </w:rPr>
            </w:pPr>
          </w:p>
        </w:tc>
      </w:tr>
      <w:tr w:rsidR="002F154C" w:rsidRPr="007F42C9" w:rsidTr="002F154C">
        <w:trPr>
          <w:trHeight w:val="20"/>
        </w:trPr>
        <w:tc>
          <w:tcPr>
            <w:tcW w:w="984" w:type="pct"/>
          </w:tcPr>
          <w:p w:rsidR="002F154C" w:rsidRPr="007F42C9" w:rsidRDefault="002F154C" w:rsidP="005531D5">
            <w:pPr>
              <w:jc w:val="left"/>
              <w:rPr>
                <w:rFonts w:ascii="Source Sans Pro" w:hAnsi="Source Sans Pro"/>
                <w:b/>
                <w:sz w:val="16"/>
              </w:rPr>
            </w:pPr>
            <w:r w:rsidRPr="007F42C9">
              <w:rPr>
                <w:rFonts w:ascii="Source Sans Pro" w:hAnsi="Source Sans Pro"/>
                <w:b/>
                <w:sz w:val="16"/>
              </w:rPr>
              <w:t>İlişkili Güvenlik Tedbirinin Uygulanamamasının Gerekçeleri</w:t>
            </w:r>
          </w:p>
        </w:tc>
        <w:tc>
          <w:tcPr>
            <w:tcW w:w="1362" w:type="pct"/>
          </w:tcPr>
          <w:p w:rsidR="002F154C" w:rsidRPr="007F42C9" w:rsidRDefault="002F154C" w:rsidP="005531D5">
            <w:pPr>
              <w:spacing w:before="0" w:after="0"/>
              <w:jc w:val="left"/>
              <w:rPr>
                <w:rFonts w:ascii="Source Sans Pro" w:hAnsi="Source Sans Pro"/>
                <w:sz w:val="16"/>
              </w:rPr>
            </w:pPr>
            <w:r w:rsidRPr="007F42C9">
              <w:rPr>
                <w:rFonts w:ascii="Source Sans Pro" w:hAnsi="Source Sans Pro"/>
                <w:sz w:val="16"/>
              </w:rPr>
              <w:t>Güvenlik tedbir maddesinin mevcut durumda uygulanamamasının nedenlerinin, uygulama kısıtlarının ve gerekçelerinin tanımlandığı alan</w:t>
            </w:r>
          </w:p>
        </w:tc>
        <w:tc>
          <w:tcPr>
            <w:tcW w:w="2654" w:type="pct"/>
          </w:tcPr>
          <w:p w:rsidR="002F154C" w:rsidRPr="007F42C9" w:rsidRDefault="002F154C" w:rsidP="005531D5">
            <w:pPr>
              <w:spacing w:after="0"/>
              <w:rPr>
                <w:rFonts w:ascii="Source Sans Pro" w:eastAsia="Times New Roman" w:hAnsi="Source Sans Pro" w:cs="Times New Roman"/>
              </w:rPr>
            </w:pPr>
          </w:p>
        </w:tc>
      </w:tr>
      <w:tr w:rsidR="002F154C" w:rsidRPr="007F42C9" w:rsidTr="002F154C">
        <w:trPr>
          <w:trHeight w:val="20"/>
        </w:trPr>
        <w:tc>
          <w:tcPr>
            <w:tcW w:w="984" w:type="pct"/>
          </w:tcPr>
          <w:p w:rsidR="002F154C" w:rsidRPr="007F42C9" w:rsidRDefault="002F154C" w:rsidP="005531D5">
            <w:pPr>
              <w:jc w:val="left"/>
              <w:rPr>
                <w:rFonts w:ascii="Source Sans Pro" w:hAnsi="Source Sans Pro"/>
                <w:b/>
                <w:sz w:val="16"/>
              </w:rPr>
            </w:pPr>
            <w:r w:rsidRPr="007F42C9">
              <w:rPr>
                <w:rFonts w:ascii="Source Sans Pro" w:hAnsi="Source Sans Pro"/>
                <w:b/>
                <w:sz w:val="16"/>
              </w:rPr>
              <w:t>Telafi Edici Kontrolün Doğrulama Yöntemi</w:t>
            </w:r>
          </w:p>
        </w:tc>
        <w:tc>
          <w:tcPr>
            <w:tcW w:w="1362" w:type="pct"/>
          </w:tcPr>
          <w:p w:rsidR="002F154C" w:rsidRPr="007F42C9" w:rsidRDefault="002F154C" w:rsidP="005531D5">
            <w:pPr>
              <w:jc w:val="left"/>
              <w:rPr>
                <w:rFonts w:ascii="Source Sans Pro" w:hAnsi="Source Sans Pro"/>
                <w:sz w:val="16"/>
              </w:rPr>
            </w:pPr>
            <w:r w:rsidRPr="007F42C9">
              <w:rPr>
                <w:rFonts w:ascii="Source Sans Pro" w:hAnsi="Source Sans Pro"/>
                <w:sz w:val="16"/>
              </w:rPr>
              <w:t>Telafi edici kontrolün etkinliği ve yeterliliğine yönelik yapılan doğrulama ve test faaliyetlerinin açıklandığı alan</w:t>
            </w:r>
          </w:p>
        </w:tc>
        <w:tc>
          <w:tcPr>
            <w:tcW w:w="2654" w:type="pct"/>
          </w:tcPr>
          <w:p w:rsidR="002F154C" w:rsidRPr="007F42C9" w:rsidRDefault="002F154C" w:rsidP="005531D5">
            <w:pPr>
              <w:spacing w:after="0"/>
              <w:rPr>
                <w:rFonts w:ascii="Source Sans Pro" w:eastAsia="Times New Roman" w:hAnsi="Source Sans Pro" w:cs="Times New Roman"/>
              </w:rPr>
            </w:pPr>
          </w:p>
        </w:tc>
      </w:tr>
    </w:tbl>
    <w:p w:rsidR="00FC77A5" w:rsidRDefault="00FC77A5"/>
    <w:sectPr w:rsidR="00FC77A5" w:rsidSect="002F154C">
      <w:headerReference w:type="default" r:id="rId6"/>
      <w:footerReference w:type="default" r:id="rId7"/>
      <w:pgSz w:w="11906" w:h="16838"/>
      <w:pgMar w:top="1417" w:right="1133" w:bottom="1417" w:left="1417" w:header="709"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5D63" w:rsidRDefault="000F5D63" w:rsidP="002F154C">
      <w:pPr>
        <w:spacing w:before="0" w:after="0" w:line="240" w:lineRule="auto"/>
      </w:pPr>
      <w:r>
        <w:separator/>
      </w:r>
    </w:p>
  </w:endnote>
  <w:endnote w:type="continuationSeparator" w:id="0">
    <w:p w:rsidR="000F5D63" w:rsidRDefault="000F5D63" w:rsidP="002F154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ource Sans Pro">
    <w:altName w:val="Cambria Math"/>
    <w:panose1 w:val="00000000000000000000"/>
    <w:charset w:val="00"/>
    <w:family w:val="swiss"/>
    <w:notTrueType/>
    <w:pitch w:val="variable"/>
    <w:sig w:usb0="00000001" w:usb1="02000001" w:usb2="00000000" w:usb3="00000000" w:csb0="0000019F" w:csb1="00000000"/>
  </w:font>
  <w:font w:name="Source Sans Pro Light">
    <w:altName w:val="Arial"/>
    <w:panose1 w:val="00000000000000000000"/>
    <w:charset w:val="00"/>
    <w:family w:val="swiss"/>
    <w:notTrueType/>
    <w:pitch w:val="variable"/>
    <w:sig w:usb0="600002F7" w:usb1="02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1132511"/>
      <w:docPartObj>
        <w:docPartGallery w:val="Page Numbers (Bottom of Page)"/>
        <w:docPartUnique/>
      </w:docPartObj>
    </w:sdtPr>
    <w:sdtContent>
      <w:p w:rsidR="002F154C" w:rsidRDefault="002F154C">
        <w:pPr>
          <w:pStyle w:val="Altbilgi"/>
          <w:jc w:val="center"/>
        </w:pPr>
        <w:r>
          <w:fldChar w:fldCharType="begin"/>
        </w:r>
        <w:r>
          <w:instrText>PAGE   \* MERGEFORMAT</w:instrText>
        </w:r>
        <w:r>
          <w:fldChar w:fldCharType="separate"/>
        </w:r>
        <w:r>
          <w:rPr>
            <w:noProof/>
          </w:rPr>
          <w:t>1</w:t>
        </w:r>
        <w:r>
          <w:fldChar w:fldCharType="end"/>
        </w:r>
      </w:p>
    </w:sdtContent>
  </w:sdt>
  <w:p w:rsidR="002F154C" w:rsidRDefault="002F154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5D63" w:rsidRDefault="000F5D63" w:rsidP="002F154C">
      <w:pPr>
        <w:spacing w:before="0" w:after="0" w:line="240" w:lineRule="auto"/>
      </w:pPr>
      <w:r>
        <w:separator/>
      </w:r>
    </w:p>
  </w:footnote>
  <w:footnote w:type="continuationSeparator" w:id="0">
    <w:p w:rsidR="000F5D63" w:rsidRDefault="000F5D63" w:rsidP="002F154C">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154C" w:rsidRPr="002F154C" w:rsidRDefault="002F154C" w:rsidP="002F154C">
    <w:pPr>
      <w:spacing w:after="0" w:line="240" w:lineRule="auto"/>
      <w:jc w:val="center"/>
      <w:rPr>
        <w:rFonts w:ascii="Source Sans Pro" w:hAnsi="Source Sans Pro" w:cs="Arial"/>
        <w:sz w:val="15"/>
        <w:szCs w:val="15"/>
      </w:rPr>
    </w:pPr>
    <w:r>
      <w:rPr>
        <w:rFonts w:ascii="Source Sans Pro" w:hAnsi="Source Sans Pro" w:cs="Arial"/>
        <w:sz w:val="15"/>
        <w:szCs w:val="15"/>
      </w:rPr>
      <w:t xml:space="preserve">BİLGİ VE </w:t>
    </w:r>
    <w:r w:rsidRPr="0075610B">
      <w:rPr>
        <w:rFonts w:ascii="Source Sans Pro" w:hAnsi="Source Sans Pro" w:cs="Arial"/>
        <w:sz w:val="15"/>
        <w:szCs w:val="15"/>
      </w:rPr>
      <w:t>İLETİŞİM</w:t>
    </w:r>
    <w:r>
      <w:rPr>
        <w:rFonts w:ascii="Source Sans Pro" w:hAnsi="Source Sans Pro" w:cs="Arial"/>
        <w:sz w:val="15"/>
        <w:szCs w:val="15"/>
      </w:rPr>
      <w:t xml:space="preserve"> GÜVENLİĞİ REHBERİ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1C17"/>
    <w:rsid w:val="000F5D63"/>
    <w:rsid w:val="002F154C"/>
    <w:rsid w:val="00740560"/>
    <w:rsid w:val="007A19B7"/>
    <w:rsid w:val="0098060C"/>
    <w:rsid w:val="00A6338B"/>
    <w:rsid w:val="00B31C17"/>
    <w:rsid w:val="00FC77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62A3E2-AF0F-4695-8E88-2EBB391DC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154C"/>
    <w:pPr>
      <w:spacing w:before="120" w:after="120" w:line="288" w:lineRule="auto"/>
      <w:jc w:val="both"/>
    </w:pPr>
  </w:style>
  <w:style w:type="paragraph" w:styleId="Balk1">
    <w:name w:val="heading 1"/>
    <w:basedOn w:val="Normal"/>
    <w:next w:val="Normal"/>
    <w:link w:val="Balk1Char"/>
    <w:uiPriority w:val="9"/>
    <w:qFormat/>
    <w:rsid w:val="002F154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NosuzBalkChar">
    <w:name w:val="Nosuz Başlık Char"/>
    <w:basedOn w:val="VarsaylanParagrafYazTipi"/>
    <w:link w:val="NosuzBalk"/>
    <w:qFormat/>
    <w:rsid w:val="002F154C"/>
    <w:rPr>
      <w:rFonts w:ascii="Arial" w:hAnsi="Arial" w:cs="Arial"/>
      <w:b/>
      <w:sz w:val="28"/>
      <w:szCs w:val="20"/>
    </w:rPr>
  </w:style>
  <w:style w:type="paragraph" w:customStyle="1" w:styleId="NosuzBalk">
    <w:name w:val="Nosuz Başlık"/>
    <w:basedOn w:val="Balk1"/>
    <w:link w:val="NosuzBalkChar"/>
    <w:qFormat/>
    <w:rsid w:val="002F154C"/>
    <w:pPr>
      <w:spacing w:before="480" w:after="240" w:line="240" w:lineRule="auto"/>
      <w:jc w:val="left"/>
    </w:pPr>
    <w:rPr>
      <w:rFonts w:ascii="Arial" w:eastAsiaTheme="minorHAnsi" w:hAnsi="Arial" w:cs="Arial"/>
      <w:b/>
      <w:color w:val="auto"/>
      <w:sz w:val="28"/>
      <w:szCs w:val="20"/>
    </w:rPr>
  </w:style>
  <w:style w:type="paragraph" w:customStyle="1" w:styleId="11">
    <w:name w:val="11"/>
    <w:basedOn w:val="GvdeMetni"/>
    <w:link w:val="11Char"/>
    <w:qFormat/>
    <w:rsid w:val="002F154C"/>
    <w:pPr>
      <w:spacing w:before="160" w:after="160" w:line="240" w:lineRule="auto"/>
    </w:pPr>
    <w:rPr>
      <w:rFonts w:ascii="Source Sans Pro" w:eastAsia="Times New Roman" w:hAnsi="Source Sans Pro" w:cs="Times New Roman"/>
    </w:rPr>
  </w:style>
  <w:style w:type="character" w:customStyle="1" w:styleId="11Char">
    <w:name w:val="11 Char"/>
    <w:basedOn w:val="VarsaylanParagrafYazTipi"/>
    <w:link w:val="11"/>
    <w:rsid w:val="002F154C"/>
    <w:rPr>
      <w:rFonts w:ascii="Source Sans Pro" w:eastAsia="Times New Roman" w:hAnsi="Source Sans Pro" w:cs="Times New Roman"/>
    </w:rPr>
  </w:style>
  <w:style w:type="table" w:customStyle="1" w:styleId="GENELTABLOB">
    <w:name w:val="GENEL TABLO B"/>
    <w:basedOn w:val="NormalTablo"/>
    <w:uiPriority w:val="99"/>
    <w:rsid w:val="002F154C"/>
    <w:pPr>
      <w:keepLines/>
      <w:spacing w:before="120" w:after="120" w:line="240" w:lineRule="auto"/>
      <w:jc w:val="center"/>
    </w:pPr>
    <w:rPr>
      <w:rFonts w:ascii="Source Sans Pro Light" w:hAnsi="Source Sans Pro Light"/>
      <w:sz w:val="20"/>
    </w:r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rPr>
      <w:cantSplit/>
    </w:trPr>
    <w:tcPr>
      <w:shd w:val="clear" w:color="auto" w:fill="auto"/>
      <w:vAlign w:val="center"/>
    </w:tcPr>
    <w:tblStylePr w:type="firstRow">
      <w:pPr>
        <w:keepNext/>
        <w:keepLines/>
        <w:pageBreakBefore w:val="0"/>
        <w:widowControl/>
        <w:suppressLineNumbers w:val="0"/>
        <w:suppressAutoHyphens w:val="0"/>
        <w:wordWrap/>
        <w:jc w:val="center"/>
      </w:pPr>
      <w:rPr>
        <w:rFonts w:ascii="Source Sans Pro Light" w:hAnsi="Source Sans Pro Light"/>
        <w:b/>
        <w:sz w:val="18"/>
      </w:rPr>
      <w:tblPr/>
      <w:tcPr>
        <w:shd w:val="clear" w:color="auto" w:fill="E5E8EF"/>
      </w:tcPr>
    </w:tblStylePr>
  </w:style>
  <w:style w:type="character" w:customStyle="1" w:styleId="Balk1Char">
    <w:name w:val="Başlık 1 Char"/>
    <w:basedOn w:val="VarsaylanParagrafYazTipi"/>
    <w:link w:val="Balk1"/>
    <w:uiPriority w:val="9"/>
    <w:rsid w:val="002F154C"/>
    <w:rPr>
      <w:rFonts w:asciiTheme="majorHAnsi" w:eastAsiaTheme="majorEastAsia" w:hAnsiTheme="majorHAnsi" w:cstheme="majorBidi"/>
      <w:color w:val="2E74B5" w:themeColor="accent1" w:themeShade="BF"/>
      <w:sz w:val="32"/>
      <w:szCs w:val="32"/>
    </w:rPr>
  </w:style>
  <w:style w:type="paragraph" w:styleId="GvdeMetni">
    <w:name w:val="Body Text"/>
    <w:basedOn w:val="Normal"/>
    <w:link w:val="GvdeMetniChar"/>
    <w:uiPriority w:val="99"/>
    <w:semiHidden/>
    <w:unhideWhenUsed/>
    <w:rsid w:val="002F154C"/>
  </w:style>
  <w:style w:type="character" w:customStyle="1" w:styleId="GvdeMetniChar">
    <w:name w:val="Gövde Metni Char"/>
    <w:basedOn w:val="VarsaylanParagrafYazTipi"/>
    <w:link w:val="GvdeMetni"/>
    <w:uiPriority w:val="99"/>
    <w:semiHidden/>
    <w:rsid w:val="002F154C"/>
  </w:style>
  <w:style w:type="paragraph" w:styleId="stbilgi">
    <w:name w:val="header"/>
    <w:basedOn w:val="Normal"/>
    <w:link w:val="stbilgiChar"/>
    <w:uiPriority w:val="99"/>
    <w:unhideWhenUsed/>
    <w:rsid w:val="002F154C"/>
    <w:pPr>
      <w:tabs>
        <w:tab w:val="center" w:pos="4536"/>
        <w:tab w:val="right" w:pos="9072"/>
      </w:tabs>
      <w:spacing w:before="0" w:after="0" w:line="240" w:lineRule="auto"/>
    </w:pPr>
  </w:style>
  <w:style w:type="character" w:customStyle="1" w:styleId="stbilgiChar">
    <w:name w:val="Üstbilgi Char"/>
    <w:basedOn w:val="VarsaylanParagrafYazTipi"/>
    <w:link w:val="stbilgi"/>
    <w:uiPriority w:val="99"/>
    <w:rsid w:val="002F154C"/>
  </w:style>
  <w:style w:type="paragraph" w:styleId="Altbilgi">
    <w:name w:val="footer"/>
    <w:basedOn w:val="Normal"/>
    <w:link w:val="AltbilgiChar"/>
    <w:uiPriority w:val="99"/>
    <w:unhideWhenUsed/>
    <w:rsid w:val="002F154C"/>
    <w:pPr>
      <w:tabs>
        <w:tab w:val="center" w:pos="4536"/>
        <w:tab w:val="right" w:pos="9072"/>
      </w:tabs>
      <w:spacing w:before="0" w:after="0" w:line="240" w:lineRule="auto"/>
    </w:pPr>
  </w:style>
  <w:style w:type="character" w:customStyle="1" w:styleId="AltbilgiChar">
    <w:name w:val="Altbilgi Char"/>
    <w:basedOn w:val="VarsaylanParagrafYazTipi"/>
    <w:link w:val="Altbilgi"/>
    <w:uiPriority w:val="99"/>
    <w:rsid w:val="002F15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299</Words>
  <Characters>1706</Characters>
  <DocSecurity>0</DocSecurity>
  <Lines>14</Lines>
  <Paragraphs>4</Paragraphs>
  <ScaleCrop>false</ScaleCrop>
  <Company/>
  <LinksUpToDate>false</LinksUpToDate>
  <CharactersWithSpaces>2001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2020-09-30T15:25:00Z</dcterms:created>
  <dcterms:modified xsi:type="dcterms:W3CDTF">2020-09-30T15:28:00Z</dcterms:modified>
</cp:coreProperties>
</file>